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CF32" w14:textId="77777777" w:rsidR="008C6B05" w:rsidRPr="008C6B05" w:rsidRDefault="008C6B05" w:rsidP="008C6B05">
      <w:pPr>
        <w:spacing w:after="0" w:line="240" w:lineRule="auto"/>
        <w:outlineLvl w:val="0"/>
        <w:rPr>
          <w:rFonts w:ascii="Times New Roman" w:eastAsia="Times New Roman" w:hAnsi="Times New Roman" w:cs="Times New Roman"/>
          <w:color w:val="CC3300"/>
          <w:kern w:val="36"/>
          <w:sz w:val="36"/>
          <w:szCs w:val="36"/>
          <w:lang w:eastAsia="fr-BE"/>
          <w14:ligatures w14:val="none"/>
        </w:rPr>
      </w:pPr>
      <w:r w:rsidRPr="008C6B05">
        <w:rPr>
          <w:rFonts w:ascii="Times New Roman" w:eastAsia="Times New Roman" w:hAnsi="Times New Roman" w:cs="Times New Roman"/>
          <w:color w:val="CC3300"/>
          <w:kern w:val="36"/>
          <w:sz w:val="36"/>
          <w:szCs w:val="36"/>
          <w:lang w:eastAsia="fr-BE"/>
          <w14:ligatures w14:val="none"/>
        </w:rPr>
        <w:t>Cuivre orienté à la baisse</w:t>
      </w:r>
    </w:p>
    <w:p w14:paraId="6FA2C339" w14:textId="77777777" w:rsidR="008C6B05" w:rsidRDefault="008C6B05" w:rsidP="008C6B05">
      <w:pPr>
        <w:spacing w:before="75" w:after="75" w:line="240" w:lineRule="auto"/>
        <w:rPr>
          <w:rFonts w:ascii="Times New Roman" w:eastAsia="Times New Roman" w:hAnsi="Times New Roman" w:cs="Times New Roman"/>
          <w:color w:val="3E001F"/>
          <w:kern w:val="0"/>
          <w:sz w:val="30"/>
          <w:szCs w:val="30"/>
          <w:lang w:eastAsia="fr-BE"/>
          <w14:ligatures w14:val="none"/>
        </w:rPr>
      </w:pPr>
    </w:p>
    <w:p w14:paraId="45E6ACC6" w14:textId="605D2008" w:rsidR="008C6B05" w:rsidRPr="008C6B05" w:rsidRDefault="008C6B05" w:rsidP="008C6B05">
      <w:pPr>
        <w:spacing w:before="75" w:after="75" w:line="240" w:lineRule="auto"/>
        <w:rPr>
          <w:rFonts w:ascii="Times New Roman" w:eastAsia="Times New Roman" w:hAnsi="Times New Roman" w:cs="Times New Roman"/>
          <w:kern w:val="0"/>
          <w:sz w:val="24"/>
          <w:szCs w:val="24"/>
          <w:lang w:eastAsia="fr-BE"/>
          <w14:ligatures w14:val="none"/>
        </w:rPr>
      </w:pPr>
      <w:r w:rsidRPr="008C6B05">
        <w:rPr>
          <w:rFonts w:ascii="Times New Roman" w:eastAsia="Times New Roman" w:hAnsi="Times New Roman" w:cs="Times New Roman"/>
          <w:kern w:val="0"/>
          <w:sz w:val="24"/>
          <w:szCs w:val="24"/>
          <w:lang w:eastAsia="fr-BE"/>
          <w14:ligatures w14:val="none"/>
        </w:rPr>
        <w:t>Les cours du </w:t>
      </w:r>
      <w:r w:rsidRPr="008C6B05">
        <w:rPr>
          <w:rFonts w:ascii="Times New Roman" w:eastAsia="Times New Roman" w:hAnsi="Times New Roman" w:cs="Times New Roman"/>
          <w:kern w:val="0"/>
          <w:sz w:val="24"/>
          <w:szCs w:val="24"/>
          <w:u w:val="single"/>
          <w:lang w:eastAsia="fr-BE"/>
          <w14:ligatures w14:val="none"/>
        </w:rPr>
        <w:t>cuivre</w:t>
      </w:r>
      <w:r w:rsidRPr="008C6B05">
        <w:rPr>
          <w:rFonts w:ascii="Times New Roman" w:eastAsia="Times New Roman" w:hAnsi="Times New Roman" w:cs="Times New Roman"/>
          <w:kern w:val="0"/>
          <w:sz w:val="24"/>
          <w:szCs w:val="24"/>
          <w:lang w:eastAsia="fr-BE"/>
          <w14:ligatures w14:val="none"/>
        </w:rPr>
        <w:t> sont orientés à la baisse ce matin. Le dollar s’est stabilisé après que les données sur l’inflation, parues la semaine dernière, ont semé le doute quant à l’imminence d’un abaissement des taux. Il semblerait que la baisse des taux tant espérée n’arrive pas de sitôt. Par ailleurs, après une semaine de célébrations du Nouvel An lunaire, la Chine a fait son retour sur le marché. Sur le LME, le </w:t>
      </w:r>
      <w:r w:rsidRPr="008C6B05">
        <w:rPr>
          <w:rFonts w:ascii="Times New Roman" w:eastAsia="Times New Roman" w:hAnsi="Times New Roman" w:cs="Times New Roman"/>
          <w:kern w:val="0"/>
          <w:sz w:val="24"/>
          <w:szCs w:val="24"/>
          <w:u w:val="single"/>
          <w:lang w:eastAsia="fr-BE"/>
          <w14:ligatures w14:val="none"/>
        </w:rPr>
        <w:t>cuivre</w:t>
      </w:r>
      <w:r w:rsidRPr="008C6B05">
        <w:rPr>
          <w:rFonts w:ascii="Times New Roman" w:eastAsia="Times New Roman" w:hAnsi="Times New Roman" w:cs="Times New Roman"/>
          <w:kern w:val="0"/>
          <w:sz w:val="24"/>
          <w:szCs w:val="24"/>
          <w:lang w:eastAsia="fr-BE"/>
          <w14:ligatures w14:val="none"/>
        </w:rPr>
        <w:t xml:space="preserve"> pour livraison à trois mois recule de 0,7 % à 8.426 $/t. Sur le </w:t>
      </w:r>
      <w:proofErr w:type="spellStart"/>
      <w:r w:rsidRPr="008C6B05">
        <w:rPr>
          <w:rFonts w:ascii="Times New Roman" w:eastAsia="Times New Roman" w:hAnsi="Times New Roman" w:cs="Times New Roman"/>
          <w:kern w:val="0"/>
          <w:sz w:val="24"/>
          <w:szCs w:val="24"/>
          <w:lang w:eastAsia="fr-BE"/>
          <w14:ligatures w14:val="none"/>
        </w:rPr>
        <w:t>ShFE</w:t>
      </w:r>
      <w:proofErr w:type="spellEnd"/>
      <w:r w:rsidRPr="008C6B05">
        <w:rPr>
          <w:rFonts w:ascii="Times New Roman" w:eastAsia="Times New Roman" w:hAnsi="Times New Roman" w:cs="Times New Roman"/>
          <w:kern w:val="0"/>
          <w:sz w:val="24"/>
          <w:szCs w:val="24"/>
          <w:lang w:eastAsia="fr-BE"/>
          <w14:ligatures w14:val="none"/>
        </w:rPr>
        <w:t>, le contrat le plus échangé (échéance mars) a pour sa part gagné 0,7 % à 68.330 yuan/t (9,495.69 $).</w:t>
      </w:r>
    </w:p>
    <w:p w14:paraId="3D7F12DA" w14:textId="77777777" w:rsidR="008C6B05" w:rsidRPr="008C6B05" w:rsidRDefault="008C6B05" w:rsidP="008C6B05">
      <w:pPr>
        <w:spacing w:before="75" w:after="75" w:line="240" w:lineRule="auto"/>
        <w:rPr>
          <w:rFonts w:ascii="Times New Roman" w:eastAsia="Times New Roman" w:hAnsi="Times New Roman" w:cs="Times New Roman"/>
          <w:kern w:val="0"/>
          <w:sz w:val="24"/>
          <w:szCs w:val="24"/>
          <w:lang w:eastAsia="fr-BE"/>
          <w14:ligatures w14:val="none"/>
        </w:rPr>
      </w:pPr>
      <w:r w:rsidRPr="008C6B05">
        <w:rPr>
          <w:rFonts w:ascii="Times New Roman" w:eastAsia="Times New Roman" w:hAnsi="Times New Roman" w:cs="Times New Roman"/>
          <w:kern w:val="0"/>
          <w:sz w:val="24"/>
          <w:szCs w:val="24"/>
          <w:lang w:eastAsia="fr-BE"/>
          <w14:ligatures w14:val="none"/>
        </w:rPr>
        <w:t>Selon les données publiées la semaine dernière, les prix à la consommation et les prix des producteurs américains ont augmenté plus que prévu au mois de janvier. L’inflation se montre tenace, ce qui n’encouragera pas la Fed à baisser les taux d’intérêt rapidement. Le dollar s’est stabilisé, or un dollar fort rend les métaux plus onéreux pour les détenteurs d’autres devises.</w:t>
      </w:r>
    </w:p>
    <w:p w14:paraId="4F0316C0" w14:textId="77777777" w:rsidR="008C6B05" w:rsidRPr="008C6B05" w:rsidRDefault="008C6B05" w:rsidP="008C6B05">
      <w:pPr>
        <w:spacing w:before="75" w:after="75" w:line="240" w:lineRule="auto"/>
        <w:rPr>
          <w:rFonts w:ascii="Times New Roman" w:eastAsia="Times New Roman" w:hAnsi="Times New Roman" w:cs="Times New Roman"/>
          <w:kern w:val="0"/>
          <w:sz w:val="24"/>
          <w:szCs w:val="24"/>
          <w:lang w:eastAsia="fr-BE"/>
          <w14:ligatures w14:val="none"/>
        </w:rPr>
      </w:pPr>
      <w:r w:rsidRPr="008C6B05">
        <w:rPr>
          <w:rFonts w:ascii="Times New Roman" w:eastAsia="Times New Roman" w:hAnsi="Times New Roman" w:cs="Times New Roman"/>
          <w:kern w:val="0"/>
          <w:sz w:val="24"/>
          <w:szCs w:val="24"/>
          <w:lang w:eastAsia="fr-BE"/>
          <w14:ligatures w14:val="none"/>
        </w:rPr>
        <w:t xml:space="preserve">Des signes de reprise de la demande ont toutefois été notés en Chine. Dans une note, ANZ </w:t>
      </w:r>
      <w:proofErr w:type="spellStart"/>
      <w:r w:rsidRPr="008C6B05">
        <w:rPr>
          <w:rFonts w:ascii="Times New Roman" w:eastAsia="Times New Roman" w:hAnsi="Times New Roman" w:cs="Times New Roman"/>
          <w:kern w:val="0"/>
          <w:sz w:val="24"/>
          <w:szCs w:val="24"/>
          <w:lang w:eastAsia="fr-BE"/>
          <w14:ligatures w14:val="none"/>
        </w:rPr>
        <w:t>Research</w:t>
      </w:r>
      <w:proofErr w:type="spellEnd"/>
      <w:r w:rsidRPr="008C6B05">
        <w:rPr>
          <w:rFonts w:ascii="Times New Roman" w:eastAsia="Times New Roman" w:hAnsi="Times New Roman" w:cs="Times New Roman"/>
          <w:kern w:val="0"/>
          <w:sz w:val="24"/>
          <w:szCs w:val="24"/>
          <w:lang w:eastAsia="fr-BE"/>
          <w14:ligatures w14:val="none"/>
        </w:rPr>
        <w:t xml:space="preserve"> a indiqué : « </w:t>
      </w:r>
      <w:r w:rsidRPr="008C6B05">
        <w:rPr>
          <w:rFonts w:ascii="Times New Roman" w:eastAsia="Times New Roman" w:hAnsi="Times New Roman" w:cs="Times New Roman"/>
          <w:i/>
          <w:iCs/>
          <w:kern w:val="0"/>
          <w:sz w:val="24"/>
          <w:szCs w:val="24"/>
          <w:lang w:eastAsia="fr-BE"/>
          <w14:ligatures w14:val="none"/>
        </w:rPr>
        <w:t>Tout signe d’une relance des achats en Chine, après une semaine de pause, est bon pour l’ambiance générale de marché </w:t>
      </w:r>
      <w:r w:rsidRPr="008C6B05">
        <w:rPr>
          <w:rFonts w:ascii="Times New Roman" w:eastAsia="Times New Roman" w:hAnsi="Times New Roman" w:cs="Times New Roman"/>
          <w:kern w:val="0"/>
          <w:sz w:val="24"/>
          <w:szCs w:val="24"/>
          <w:lang w:eastAsia="fr-BE"/>
          <w14:ligatures w14:val="none"/>
        </w:rPr>
        <w:t>».</w:t>
      </w:r>
    </w:p>
    <w:p w14:paraId="448CB09F" w14:textId="77777777" w:rsidR="008C6B05" w:rsidRPr="008C6B05" w:rsidRDefault="008C6B05" w:rsidP="008C6B05">
      <w:pPr>
        <w:spacing w:before="75" w:after="75" w:line="240" w:lineRule="auto"/>
        <w:rPr>
          <w:rFonts w:ascii="Times New Roman" w:eastAsia="Times New Roman" w:hAnsi="Times New Roman" w:cs="Times New Roman"/>
          <w:kern w:val="0"/>
          <w:sz w:val="24"/>
          <w:szCs w:val="24"/>
          <w:lang w:eastAsia="fr-BE"/>
          <w14:ligatures w14:val="none"/>
        </w:rPr>
      </w:pPr>
      <w:r w:rsidRPr="008C6B05">
        <w:rPr>
          <w:rFonts w:ascii="Times New Roman" w:eastAsia="Times New Roman" w:hAnsi="Times New Roman" w:cs="Times New Roman"/>
          <w:kern w:val="0"/>
          <w:sz w:val="24"/>
          <w:szCs w:val="24"/>
          <w:lang w:eastAsia="fr-BE"/>
          <w14:ligatures w14:val="none"/>
        </w:rPr>
        <w:t>La plupart des métaux sont orientés à la baisse, dont </w:t>
      </w:r>
      <w:r w:rsidRPr="008C6B05">
        <w:rPr>
          <w:rFonts w:ascii="Times New Roman" w:eastAsia="Times New Roman" w:hAnsi="Times New Roman" w:cs="Times New Roman"/>
          <w:kern w:val="0"/>
          <w:sz w:val="24"/>
          <w:szCs w:val="24"/>
          <w:u w:val="single"/>
          <w:lang w:eastAsia="fr-BE"/>
          <w14:ligatures w14:val="none"/>
        </w:rPr>
        <w:t>l’aluminium</w:t>
      </w:r>
      <w:r w:rsidRPr="008C6B05">
        <w:rPr>
          <w:rFonts w:ascii="Times New Roman" w:eastAsia="Times New Roman" w:hAnsi="Times New Roman" w:cs="Times New Roman"/>
          <w:kern w:val="0"/>
          <w:sz w:val="24"/>
          <w:szCs w:val="24"/>
          <w:lang w:eastAsia="fr-BE"/>
          <w14:ligatures w14:val="none"/>
        </w:rPr>
        <w:t> qui recule de 0,2 % et le </w:t>
      </w:r>
      <w:r w:rsidRPr="008C6B05">
        <w:rPr>
          <w:rFonts w:ascii="Times New Roman" w:eastAsia="Times New Roman" w:hAnsi="Times New Roman" w:cs="Times New Roman"/>
          <w:kern w:val="0"/>
          <w:sz w:val="24"/>
          <w:szCs w:val="24"/>
          <w:u w:val="single"/>
          <w:lang w:eastAsia="fr-BE"/>
          <w14:ligatures w14:val="none"/>
        </w:rPr>
        <w:t>nickel</w:t>
      </w:r>
      <w:r w:rsidRPr="008C6B05">
        <w:rPr>
          <w:rFonts w:ascii="Times New Roman" w:eastAsia="Times New Roman" w:hAnsi="Times New Roman" w:cs="Times New Roman"/>
          <w:kern w:val="0"/>
          <w:sz w:val="24"/>
          <w:szCs w:val="24"/>
          <w:lang w:eastAsia="fr-BE"/>
          <w14:ligatures w14:val="none"/>
        </w:rPr>
        <w:t> de 0,4 %.</w:t>
      </w:r>
    </w:p>
    <w:p w14:paraId="504EFFE2" w14:textId="691AD3A9" w:rsidR="00287462" w:rsidRDefault="008C6B05" w:rsidP="008C6B05">
      <w:hyperlink r:id="rId4" w:anchor="facebook" w:tgtFrame="_blank" w:history="1">
        <w:r w:rsidRPr="008C6B05">
          <w:rPr>
            <w:rFonts w:ascii="Times New Roman" w:eastAsia="Times New Roman" w:hAnsi="Times New Roman" w:cs="Times New Roman"/>
            <w:color w:val="3E001F"/>
            <w:kern w:val="0"/>
            <w:sz w:val="24"/>
            <w:szCs w:val="24"/>
            <w:lang w:eastAsia="fr-BE"/>
            <w14:ligatures w14:val="none"/>
          </w:rPr>
          <w:br/>
        </w:r>
      </w:hyperlink>
    </w:p>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05"/>
    <w:rsid w:val="00287462"/>
    <w:rsid w:val="008C6B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C9D9"/>
  <w15:chartTrackingRefBased/>
  <w15:docId w15:val="{24DA24FB-9201-421A-A16A-FFB2A3F1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91887">
      <w:bodyDiv w:val="1"/>
      <w:marLeft w:val="0"/>
      <w:marRight w:val="0"/>
      <w:marTop w:val="0"/>
      <w:marBottom w:val="0"/>
      <w:divBdr>
        <w:top w:val="none" w:sz="0" w:space="0" w:color="auto"/>
        <w:left w:val="none" w:sz="0" w:space="0" w:color="auto"/>
        <w:bottom w:val="none" w:sz="0" w:space="0" w:color="auto"/>
        <w:right w:val="none" w:sz="0" w:space="0" w:color="auto"/>
      </w:divBdr>
      <w:divsChild>
        <w:div w:id="1400976967">
          <w:marLeft w:val="0"/>
          <w:marRight w:val="0"/>
          <w:marTop w:val="300"/>
          <w:marBottom w:val="0"/>
          <w:divBdr>
            <w:top w:val="single" w:sz="6" w:space="0" w:color="29395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ibune-des-met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2024-02-19T09:40:00Z</dcterms:created>
  <dcterms:modified xsi:type="dcterms:W3CDTF">2024-02-19T09:41:00Z</dcterms:modified>
</cp:coreProperties>
</file>